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0000000">
            <w:pPr>
              <w:pStyle w:val="Style_1"/>
            </w:pPr>
            <w:r>
              <w:drawing>
                <wp:inline>
                  <wp:extent cx="3533774" cy="1219199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3533774" cy="1219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1000000">
            <w:pPr>
              <w:pStyle w:val="Style_1"/>
              <w:ind/>
              <w:jc w:val="center"/>
            </w:pPr>
            <w:r>
              <w:rPr>
                <w:sz w:val="48"/>
              </w:rPr>
              <w:t>Статья: Спортивные сооружения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(Подготовлен для системы КонсультантПлюс, 2025)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2000000">
            <w:pPr>
              <w:pStyle w:val="Style_1"/>
              <w:ind/>
              <w:jc w:val="center"/>
            </w:pPr>
          </w:p>
        </w:tc>
      </w:tr>
    </w:tbl>
    <w:p w14:paraId="13000000">
      <w:pPr>
        <w:sectPr>
          <w:pgSz w:h="16838" w:orient="portrait" w:w="11906"/>
          <w:pgMar w:bottom="841" w:footer="0" w:gutter="0" w:header="0" w:left="595" w:right="595" w:top="841"/>
        </w:sectPr>
      </w:pPr>
    </w:p>
    <w:p w14:paraId="14000000">
      <w:pPr>
        <w:pStyle w:val="Style_2"/>
        <w:ind/>
        <w:jc w:val="both"/>
        <w:outlineLvl w:val="0"/>
      </w:pPr>
    </w:p>
    <w:tbl>
      <w:tblPr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7000000">
            <w:pPr>
              <w:pStyle w:val="Style_2"/>
              <w:ind/>
              <w:jc w:val="right"/>
            </w:pPr>
            <w:r>
              <w:rPr>
                <w:b w:val="1"/>
                <w:color w:val="392C69"/>
                <w:sz w:val="20"/>
              </w:rPr>
              <w:t>Актуально на 08.12.2025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/>
        </w:tc>
      </w:tr>
    </w:tbl>
    <w:p w14:paraId="19000000">
      <w:pPr>
        <w:pStyle w:val="Style_3"/>
        <w:spacing w:before="260"/>
        <w:ind/>
        <w:jc w:val="center"/>
      </w:pPr>
      <w:r>
        <w:rPr>
          <w:sz w:val="20"/>
        </w:rPr>
        <w:t>СПОРТИВНЫЕ СООРУЖЕНИЯ</w:t>
      </w:r>
    </w:p>
    <w:p w14:paraId="1A000000">
      <w:pPr>
        <w:pStyle w:val="Style_2"/>
        <w:ind/>
        <w:jc w:val="both"/>
      </w:pPr>
    </w:p>
    <w:p w14:paraId="1B000000">
      <w:pPr>
        <w:pStyle w:val="Style_2"/>
        <w:ind w:firstLine="540" w:left="0"/>
        <w:jc w:val="both"/>
      </w:pPr>
      <w:r>
        <w:rPr>
          <w:sz w:val="20"/>
        </w:rPr>
        <w:t>В последние годы в России активно развивается физкультура и спорт, реализуются специальные программы в этой сфере, проводится много международных спортивных мероприятий. В этой связи ведется строительство и реконструкция различных спортивных сооружений. В отношении таких сооружений предусмотрены действующие нормы законодательства, правила и технические регламенты. Рассмотрим их основные положения в данной статье.</w:t>
      </w:r>
    </w:p>
    <w:p w14:paraId="1C000000">
      <w:pPr>
        <w:pStyle w:val="Style_2"/>
        <w:ind/>
        <w:jc w:val="both"/>
      </w:pPr>
    </w:p>
    <w:p w14:paraId="1D000000">
      <w:pPr>
        <w:pStyle w:val="Style_3"/>
        <w:ind/>
        <w:jc w:val="center"/>
        <w:outlineLvl w:val="0"/>
      </w:pPr>
      <w:r>
        <w:rPr>
          <w:sz w:val="20"/>
        </w:rPr>
        <w:t>Понятие спортивного сооружения и его соотношение</w:t>
      </w:r>
    </w:p>
    <w:p w14:paraId="1E000000">
      <w:pPr>
        <w:pStyle w:val="Style_3"/>
        <w:ind/>
        <w:jc w:val="center"/>
      </w:pPr>
      <w:r>
        <w:rPr>
          <w:sz w:val="20"/>
        </w:rPr>
        <w:t>со спортивным объектом</w:t>
      </w:r>
    </w:p>
    <w:p w14:paraId="1F000000">
      <w:pPr>
        <w:pStyle w:val="Style_2"/>
        <w:ind/>
        <w:jc w:val="both"/>
      </w:pPr>
    </w:p>
    <w:p w14:paraId="20000000">
      <w:pPr>
        <w:pStyle w:val="Style_2"/>
        <w:ind w:firstLine="540" w:left="0"/>
        <w:jc w:val="both"/>
      </w:pPr>
      <w:r>
        <w:rPr>
          <w:sz w:val="20"/>
        </w:rPr>
        <w:t xml:space="preserve">Определение данного понятия содержится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"https://login.consultant.ru/link/?req=doc&amp;base=ROS&amp;n=520150&amp;dst=100029" \o "Федеральный закон от 04.12.2007 N 329-ФЗ (ред. от 28.11.2025) "О физической культуре и спорте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17 ст.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04.12.2007 N 329-ФЗ "О физической культуре и спорте в Российской Федерации" (далее - Закон о спорте): спортивное сооружение - это инженерно-строительный объект, предназначенный для проведения физкультурных мероприятий и (или) спортивных мероприятий. Из буквального толкования указанной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"https://login.consultant.ru/link/?req=doc&amp;base=ROS&amp;n=520150&amp;dst=100029" \o "Федеральный закон от 04.12.2007 N 329-ФЗ (ред. от 28.11.2025) "О физической культуре и спорте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нормы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следует, что спортивным сооружением может признаваться как недвижимое, так и движимое имущество.</w:t>
      </w:r>
    </w:p>
    <w:p w14:paraId="21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Исходя из действующей формулировки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"https://login.consultant.ru/link/?req=doc&amp;base=ROS&amp;n=520150&amp;dst=1152" \o "Федеральный закон от 04.12.2007 N 329-ФЗ (ред. от 28.11.2025) "О физической культуре и спорте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7 ст.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Закона о спорте под объектом спорта понимается спортивное сооружение, являющееся объектом недвижимого имущества, в том числе единым недвижимым комплексом, и предназначенное для проведения физкультурных мероприятий и (или) спортивных мероприятий. Таким образом, понятие объекта спорта является более узким, чем понятие спортивного сооружения, поскольку объектами спорта считаются не любые спортивные сооружения, а только те, которые являются объектами недвижимого имущества (в том числе единые недвижимые комплексы).</w:t>
      </w:r>
    </w:p>
    <w:p w14:paraId="22000000">
      <w:pPr>
        <w:pStyle w:val="Style_2"/>
        <w:ind/>
        <w:jc w:val="both"/>
      </w:pPr>
    </w:p>
    <w:p w14:paraId="23000000">
      <w:pPr>
        <w:pStyle w:val="Style_3"/>
        <w:ind/>
        <w:jc w:val="center"/>
        <w:outlineLvl w:val="0"/>
      </w:pPr>
      <w:r>
        <w:rPr>
          <w:sz w:val="20"/>
        </w:rPr>
        <w:t>Санитарно-эпидемиологические требования к спортивным</w:t>
      </w:r>
    </w:p>
    <w:p w14:paraId="24000000">
      <w:pPr>
        <w:pStyle w:val="Style_3"/>
        <w:ind/>
        <w:jc w:val="center"/>
      </w:pPr>
      <w:r>
        <w:rPr>
          <w:sz w:val="20"/>
        </w:rPr>
        <w:t>сооружениям</w:t>
      </w:r>
    </w:p>
    <w:p w14:paraId="25000000">
      <w:pPr>
        <w:pStyle w:val="Style_2"/>
        <w:ind/>
        <w:jc w:val="both"/>
      </w:pPr>
    </w:p>
    <w:p w14:paraId="26000000">
      <w:pPr>
        <w:pStyle w:val="Style_2"/>
        <w:ind w:firstLine="540" w:left="0"/>
        <w:jc w:val="both"/>
      </w:pPr>
      <w:r>
        <w:rPr>
          <w:sz w:val="20"/>
        </w:rPr>
        <w:t xml:space="preserve">Постановлением Главного государственного санитарного врача РФ от 24.12.2020 N 44 утверждены Санитарные правила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"https://login.consultant.ru/link/?req=doc&amp;base=LAW&amp;n=480812&amp;dst=100018"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СП 2.1.3678-20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(далее - Санитарные правила эксплуатации помещений; обращаем внимание, что срок действия данных Санитарных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"https://login.consultant.ru/link/?req=doc&amp;base=LAW&amp;n=480812&amp;dst=100018"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правил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ограничен 01.01.2027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"https://login.consultant.ru/link/?req=doc&amp;base=LAW&amp;n=480812&amp;dst=100009"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указанного Постановления).</w:t>
      </w:r>
    </w:p>
    <w:p w14:paraId="27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"https://login.consultant.ru/link/?req=doc&amp;base=LAW&amp;n=480812&amp;dst=100306"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 к размещению, устройству и содержанию объектов спорта, в частности, предъявляются следующие санитарно-эпидемиологические требования:</w:t>
      </w:r>
    </w:p>
    <w:p w14:paraId="28000000">
      <w:pPr>
        <w:pStyle w:val="Style_2"/>
        <w:spacing w:before="200"/>
        <w:ind w:firstLine="540" w:left="0"/>
        <w:jc w:val="both"/>
      </w:pPr>
      <w:r>
        <w:rPr>
          <w:sz w:val="20"/>
        </w:rPr>
        <w:t>- въезды и входы на территорию объекта спорта, дорожки к зданиям, хозяйственным постройкам, контейнерным площадкам для сбора мусора должны оборудоваться ровным твердым покрытием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"https://login.consultant.ru/link/?req=doc&amp;base=LAW&amp;n=480812&amp;dst=100307"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9000000">
      <w:pPr>
        <w:pStyle w:val="Style_2"/>
        <w:spacing w:before="200"/>
        <w:ind w:firstLine="540" w:left="0"/>
        <w:jc w:val="both"/>
      </w:pPr>
      <w:r>
        <w:rPr>
          <w:sz w:val="20"/>
        </w:rPr>
        <w:t>- территория объекта спорта должна иметь наружное искусственное освещение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"https://login.consultant.ru/link/?req=doc&amp;base=LAW&amp;n=480812&amp;dst=100308"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A000000">
      <w:pPr>
        <w:pStyle w:val="Style_2"/>
        <w:spacing w:before="200"/>
        <w:ind w:firstLine="540" w:left="0"/>
        <w:jc w:val="both"/>
      </w:pPr>
      <w:r>
        <w:rPr>
          <w:sz w:val="20"/>
        </w:rPr>
        <w:t>- площадки открытых плоскостных объектов спорта для проведения массовых самостоятельных физкультурно-оздоровительных занятий населением могут не оборудоваться отдельными вспомогательными помещениями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"https://login.consultant.ru/link/?req=doc&amp;base=LAW&amp;n=480812&amp;dst=100309"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B000000">
      <w:pPr>
        <w:pStyle w:val="Style_2"/>
        <w:spacing w:before="200"/>
        <w:ind w:firstLine="540" w:left="0"/>
        <w:jc w:val="both"/>
      </w:pPr>
      <w:r>
        <w:rPr>
          <w:sz w:val="20"/>
        </w:rPr>
        <w:t>- в составе вспомогательных помещений открытых плоскостных объектов спорта для лиц, занимающихся физической культурой и спортом, должны быть: раздевалки, туалеты и душевые, раздельные для мужчин и женщин, комната тренеров (инструкторов), медицинский пункт, помещение для хранения и ремонта спортивного оборудования и инвентаря, помещения для хранения уборочного инвентаря;</w:t>
      </w:r>
    </w:p>
    <w:p w14:paraId="2C000000">
      <w:pPr>
        <w:pStyle w:val="Style_2"/>
        <w:spacing w:before="200"/>
        <w:ind w:firstLine="540" w:left="0"/>
        <w:jc w:val="both"/>
      </w:pPr>
      <w:r>
        <w:rPr>
          <w:sz w:val="20"/>
        </w:rPr>
        <w:t>- для зрителей оборудуются туалеты, раздельные для мужчин и женщин, или биотуалеты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"https://login.consultant.ru/link/?req=doc&amp;base=LAW&amp;n=480812&amp;dst=100310"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D000000">
      <w:pPr>
        <w:pStyle w:val="Style_2"/>
        <w:spacing w:before="200"/>
        <w:ind w:firstLine="540" w:left="0"/>
        <w:jc w:val="both"/>
      </w:pPr>
      <w:r>
        <w:rPr>
          <w:sz w:val="20"/>
        </w:rPr>
        <w:t>- в составе вспомогательных помещений лыжных баз и ледовых катков должны быть организованы отапливаемые вестибюли, гардеробные, помещения для отдыха, помещения для хранения и сушки обуви (лыжных ботинок и ботинок с коньками), туалеты (раздельные для женщин, мужчин), комната для хранения уборочного инвентаря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"https://login.consultant.ru/link/?req=doc&amp;base=LAW&amp;n=480812&amp;dst=100312"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E000000">
      <w:pPr>
        <w:pStyle w:val="Style_2"/>
        <w:spacing w:before="200"/>
        <w:ind w:firstLine="540" w:left="0"/>
        <w:jc w:val="both"/>
      </w:pPr>
      <w:r>
        <w:rPr>
          <w:sz w:val="20"/>
        </w:rPr>
        <w:t>- спортивные залы размещаются в отдельно стоящих зданиях, многофункциональных спортивных комплексах или в составе общественных зданий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2F000000">
      <w:pPr>
        <w:pStyle w:val="Style_2"/>
        <w:spacing w:before="200"/>
        <w:ind w:firstLine="540" w:left="0"/>
        <w:jc w:val="both"/>
      </w:pPr>
      <w:r>
        <w:rPr>
          <w:sz w:val="20"/>
        </w:rPr>
        <w:t>- размещение спортивных залов для детей в цокольных и подвальных этажах зданий не допускается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"https://login.consultant.ru/link/?req=doc&amp;base=LAW&amp;n=480812&amp;dst=100314"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30000000">
      <w:pPr>
        <w:pStyle w:val="Style_2"/>
        <w:spacing w:before="200"/>
        <w:ind w:firstLine="540" w:left="0"/>
        <w:jc w:val="both"/>
      </w:pPr>
      <w:r>
        <w:rPr>
          <w:sz w:val="20"/>
        </w:rPr>
        <w:t>- размещение спортивных залов в помещениях, встроенных и пристроенных к многоквартирным домам, осуществляется при условии организации отдельного входа, изолированного от жилых помещений многоквартирного дома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31000000">
      <w:pPr>
        <w:pStyle w:val="Style_2"/>
        <w:spacing w:before="200"/>
        <w:ind w:firstLine="540" w:left="0"/>
        <w:jc w:val="both"/>
      </w:pPr>
      <w:r>
        <w:rPr>
          <w:sz w:val="20"/>
        </w:rPr>
        <w:t>- здания объектов спорта оборудуются необходимым набором вспомогательных помещений для лиц, занимающихся физической культурой и спортом: отдельными раздевалками для мужчин и женщин, оборудованными туалетами и душевыми. Должен быть организован медицинский пункт, комнаты тренеров (инструкторов), помещение для хранения спортивного инвентаря и оборудования, гардеробные, помещения для хранения уборочного инвентаря и приготовления дезинфицирующих растворов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"https://login.consultant.ru/link/?req=doc&amp;base=LAW&amp;n=480812&amp;dst=100316"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32000000">
      <w:pPr>
        <w:pStyle w:val="Style_2"/>
        <w:spacing w:before="200"/>
        <w:ind w:firstLine="540" w:left="0"/>
        <w:jc w:val="both"/>
      </w:pPr>
      <w:r>
        <w:rPr>
          <w:sz w:val="20"/>
        </w:rPr>
        <w:t>- в зданиях объектов спорта должны быть гардеробы, раздельные санитарные узлы для посетителей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6.1.10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помещений);</w:t>
      </w:r>
    </w:p>
    <w:p w14:paraId="33000000">
      <w:pPr>
        <w:pStyle w:val="Style_2"/>
        <w:spacing w:before="200"/>
        <w:ind w:firstLine="540" w:left="0"/>
        <w:jc w:val="both"/>
      </w:pPr>
      <w:r>
        <w:rPr>
          <w:sz w:val="20"/>
        </w:rPr>
        <w:t>- и др.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"https://login.consultant.ru/link/?req=doc&amp;base=LAW&amp;n=480812&amp;dst=100318"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п. 6.1.11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"https://login.consultant.ru/link/?req=doc&amp;base=LAW&amp;n=480812&amp;dst=100331"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6.1.23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помещений).</w:t>
      </w:r>
    </w:p>
    <w:p w14:paraId="34000000">
      <w:pPr>
        <w:pStyle w:val="Style_2"/>
        <w:spacing w:before="200"/>
        <w:ind w:firstLine="540" w:left="0"/>
        <w:jc w:val="both"/>
      </w:pPr>
      <w:r>
        <w:rPr>
          <w:sz w:val="20"/>
        </w:rPr>
        <w:t>Отдельные санитарно-гигиенические требования предусмотрены для бассейнов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"https://login.consultant.ru/link/?req=doc&amp;base=LAW&amp;n=480812&amp;dst=100333"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п. 6.2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"https://login.consultant.ru/link/?req=doc&amp;base=LAW&amp;n=480812&amp;dst=100405"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6.3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Санитарных правил эксплуатации помещений,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"https://login.consultant.ru/link/?req=doc&amp;base=LAW&amp;n=480812&amp;dst=101561"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Приложения N N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"https://login.consultant.ru/link/?req=doc&amp;base=LAW&amp;n=480812&amp;dst=101628"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Санитарным правилам эксплуатации помещений;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"https://login.consultant.ru/link/?req=doc&amp;base=LAW&amp;n=503096&amp;dst=136981"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Таблицы 3.10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"https://login.consultant.ru/link/?req=doc&amp;base=LAW&amp;n=503096&amp;dst=153923"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5.31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утв. Постановлением Главного государственного санитарного врача РФ от 28.01.2021 N 2 (обращаем внимание, что срок действия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"https://login.consultant.ru/link/?req=doc&amp;base=LAW&amp;n=503096&amp;dst=100137"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СанПиН 1.2.3685-21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ограничен 01.03.2027 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"https://login.consultant.ru/link/?req=doc&amp;base=LAW&amp;n=503096&amp;dst=100009" \o "Ссылка на КонсультантПлюс"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указанного Постановления)).</w:t>
      </w:r>
    </w:p>
    <w:p w14:paraId="35000000">
      <w:pPr>
        <w:pStyle w:val="Style_2"/>
        <w:ind/>
        <w:jc w:val="both"/>
      </w:pPr>
    </w:p>
    <w:p w14:paraId="36000000">
      <w:pPr>
        <w:pStyle w:val="Style_3"/>
        <w:ind/>
        <w:jc w:val="center"/>
        <w:outlineLvl w:val="0"/>
      </w:pPr>
      <w:r>
        <w:rPr>
          <w:sz w:val="20"/>
        </w:rPr>
        <w:t>Правила пожарной безопасности для спортивных сооружений</w:t>
      </w:r>
    </w:p>
    <w:p w14:paraId="37000000">
      <w:pPr>
        <w:pStyle w:val="Style_2"/>
        <w:ind/>
        <w:jc w:val="both"/>
      </w:pPr>
    </w:p>
    <w:p w14:paraId="38000000">
      <w:pPr>
        <w:pStyle w:val="Style_2"/>
        <w:ind w:firstLine="540" w:left="0"/>
        <w:jc w:val="both"/>
      </w:pPr>
      <w:r>
        <w:rPr>
          <w:sz w:val="20"/>
        </w:rPr>
        <w:t>Спортивные сооружения с трибунами относятся к объектам класса функциональной пожарной опасности Ф2.1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"https://login.consultant.ru/link/?req=doc&amp;base=ROS&amp;n=465775&amp;dst=100341"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пп. "а" п. 2 ч. 1 ст. 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22.07.2008 N 123-ФЗ "Технический регламент о требованиях пожарной безопасности", далее - Технический регламент пожарной безопасности).</w:t>
      </w:r>
    </w:p>
    <w:p w14:paraId="39000000">
      <w:pPr>
        <w:pStyle w:val="Style_2"/>
        <w:spacing w:before="200"/>
        <w:ind w:firstLine="540" w:left="0"/>
        <w:jc w:val="both"/>
      </w:pPr>
      <w:r>
        <w:rPr>
          <w:sz w:val="20"/>
        </w:rPr>
        <w:t>Физкультурно-оздоровительные комплексы и спортивно-тренировочные учреждения с помещениями без трибун для зрителей относятся к объектам класса функциональной пожарной опасности Ф3.6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"https://login.consultant.ru/link/?req=doc&amp;base=ROS&amp;n=465775&amp;dst=100351"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пп. "е" п. 3 ч. 1 ст. 32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Технического регламента пожарной безопасности).</w:t>
      </w:r>
    </w:p>
    <w:p w14:paraId="3A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На данные объекты распространяется СП 4.13130.2013 "Свод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решениям", утв. Приказом МЧС России от 24.04.2013 N 288 (далее - Свод правил 4.13130.2013),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"https://login.consultant.ru/link/?req=doc&amp;base=ROS&amp;n=465997&amp;dst=100143"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разд.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указанного Свода правил.</w:t>
      </w:r>
    </w:p>
    <w:p w14:paraId="3B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частности, на основании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"https://login.consultant.ru/link/?req=doc&amp;base=ROS&amp;n=465997&amp;dst=100216"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5.4.8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Свода правил 4.13130.2013 обшивку стен и потолков стрелковых галерей и огневых зон тиров, размещенных в подвальных этажах, а также в подтрибунном пространстве закрытых спортивных сооружений следует выполнять из материалов группы горючести НГ, Г1.</w:t>
      </w:r>
    </w:p>
    <w:p w14:paraId="3C000000">
      <w:pPr>
        <w:pStyle w:val="Style_2"/>
        <w:spacing w:before="200"/>
        <w:ind w:firstLine="540" w:left="0"/>
        <w:jc w:val="both"/>
      </w:pPr>
      <w:r>
        <w:rPr>
          <w:sz w:val="20"/>
        </w:rPr>
        <w:t>Помимо указанного требования, Свод правил 4.13130.2013 содержит:</w:t>
      </w:r>
    </w:p>
    <w:p w14:paraId="3D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общие требования пожарной безопасности к жилым, общественным, производственным и складским зданиям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"https://login.consultant.ru/link/?req=doc&amp;base=ROS&amp;n=465997&amp;dst=100098"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(п. 4)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3E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к объектам жилого и общественного назначения классов функциональной пожарной опасности Ф1 - Ф4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"https://login.consultant.ru/link/?req=doc&amp;base=ROS&amp;n=465997&amp;dst=100143"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(п. 5)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3F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меры по обеспечению деятельности пожарных подразделений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"https://login.consultant.ru/link/?req=doc&amp;base=ROS&amp;n=465997&amp;dst=102210"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(п. 7)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40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к проходам, проездам и подъездам к зданиям и сооружениям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"https://login.consultant.ru/link/?req=doc&amp;base=ROS&amp;n=465997&amp;dst=102236" \o "Приказ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(п. 8)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41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Кроме того, на спортивные сооружения распространяются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"https://login.consultant.ru/link/?req=doc&amp;base=ROS&amp;n=498201&amp;dst=100009"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противопожарного режима в Российской Федерации, утв. Постановлением Правительства РФ от 16.09.2020 N 1479 (далее - Правила противопожарного режима; следует учитывать, что срок действия данных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"https://login.consultant.ru/link/?req=doc&amp;base=ROS&amp;n=498201&amp;dst=100009"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Правил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ограничен 31.12.2027 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"https://login.consultant.ru/link/?req=doc&amp;base=ROS&amp;n=498201&amp;dst=100006"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указанного Постановления). Они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"https://login.consultant.ru/link/?req=doc&amp;base=ROS&amp;n=498201&amp;dst=100011"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2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частности, руководитель организации должен обеспечивать эксплуатацию спортивных сооружений в соответствии с требованиями Технического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регламента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пожарной безопасности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"https://login.consultant.ru/link/?req=doc&amp;base=ROS&amp;n=498201&amp;dst=15"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2(1)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3000000">
      <w:pPr>
        <w:pStyle w:val="Style_2"/>
        <w:spacing w:before="200"/>
        <w:ind w:firstLine="540" w:left="0"/>
        <w:jc w:val="both"/>
      </w:pPr>
      <w:r>
        <w:rPr>
          <w:sz w:val="20"/>
        </w:rPr>
        <w:t>Лица допускаются к работе на объекте защиты только после прохождения обучения мерам пожарной безопасности, которое осуществляется по программам противопожарного инструктажа или дополнительным профессиональным программам. Порядок и сроки обучения лиц мерам пожарной безопасности определяются руководителем организации с учетом требований нормативных правовых актов РФ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"https://login.consultant.ru/link/?req=doc&amp;base=ROS&amp;n=498201&amp;dst=100016"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4000000">
      <w:pPr>
        <w:pStyle w:val="Style_2"/>
        <w:spacing w:before="200"/>
        <w:ind w:firstLine="540" w:left="0"/>
        <w:jc w:val="both"/>
      </w:pPr>
      <w:r>
        <w:rPr>
          <w:sz w:val="20"/>
        </w:rPr>
        <w:t>Руководитель организации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"https://login.consultant.ru/link/?req=doc&amp;base=ROS&amp;n=498201&amp;dst=100019"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5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"https://login.consultant.ru/link/?req=doc&amp;base=ROS&amp;n=498201&amp;dst=100020"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 в отношении спортивных сооружений,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пожаре, которые размещаются на видных местах.</w:t>
      </w:r>
    </w:p>
    <w:p w14:paraId="46000000">
      <w:pPr>
        <w:pStyle w:val="Style_2"/>
        <w:spacing w:before="200"/>
        <w:ind w:firstLine="540" w:left="0"/>
        <w:jc w:val="both"/>
      </w:pPr>
      <w:r>
        <w:rPr>
          <w:sz w:val="20"/>
        </w:rPr>
        <w:t>Запрещается использовать подвальные и цокольные этажи для организации детского досуга, в том числе для проведения спортивных мероприятий, если это не предусмотрено проектной документацией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"https://login.consultant.ru/link/?req=doc&amp;base=ROS&amp;n=498201&amp;dst=100026"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7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Руководитель организации обеспечивает категорирование спортивных сооружений по взрывопожарной и пожарной опасности, а также определение класса зоны 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"https://login.consultant.ru/link/?req=doc&amp;base=ROS&amp;n=465775&amp;dst=100202"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гл.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"https://login.consultant.ru/link/?req=doc&amp;base=ROS&amp;n=465775&amp;dst=100267"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"https://login.consultant.ru/link/?req=doc&amp;base=ROS&amp;n=465775&amp;dst=101962" \o "Федеральный закон от 22.07.2008 N 123-ФЗ (ред. от 25.12.2023) "Технический регламент о требованиях пожарной безопасности"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Технического регламента пожарной безопасности (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"https://login.consultant.ru/link/?req=doc&amp;base=ROS&amp;n=498201&amp;dst=100032"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режима).</w:t>
      </w:r>
    </w:p>
    <w:p w14:paraId="48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силу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"https://login.consultant.ru/link/?req=doc&amp;base=ROS&amp;n=498201&amp;dst=100033"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 документация хранится на объекте защиты.</w:t>
      </w:r>
    </w:p>
    <w:p w14:paraId="49000000">
      <w:pPr>
        <w:pStyle w:val="Style_2"/>
        <w:spacing w:before="200"/>
        <w:ind w:firstLine="540" w:left="0"/>
        <w:jc w:val="both"/>
      </w:pPr>
      <w:r>
        <w:rPr>
          <w:sz w:val="20"/>
        </w:rPr>
        <w:t>При отсутствии в технической документации сведений о периодичности проверки проверка проводится не реже 1 раза в год.</w:t>
      </w:r>
    </w:p>
    <w:p w14:paraId="4A000000">
      <w:pPr>
        <w:pStyle w:val="Style_2"/>
        <w:spacing w:before="200"/>
        <w:ind w:firstLine="540" w:left="0"/>
        <w:jc w:val="both"/>
      </w:pPr>
      <w:r>
        <w:rPr>
          <w:sz w:val="20"/>
        </w:rPr>
        <w:t>По результатам проверки составляется акт (протокол)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устранения. Руководитель организации обеспечивает устранение повреждений огнезащитного покрытия строительных конструкций, инженерного оборудования объектов защиты.</w:t>
      </w:r>
    </w:p>
    <w:p w14:paraId="4B000000">
      <w:pPr>
        <w:pStyle w:val="Style_2"/>
        <w:spacing w:before="200"/>
        <w:ind w:firstLine="540" w:left="0"/>
        <w:jc w:val="both"/>
      </w:pPr>
      <w:r>
        <w:rPr>
          <w:sz w:val="20"/>
        </w:rPr>
        <w:t>Руководитель организации в соответствии с технической (проектной) документацией изготовителя средства огнезащиты и (или)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безопасности.</w:t>
      </w:r>
    </w:p>
    <w:p w14:paraId="4C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"https://login.consultant.ru/link/?req=doc&amp;base=ROS&amp;n=498201&amp;dst=18"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 руководитель организации обеспечивает наличие и исправное состояние устройств для самозакрывания противопожарных дверей, а также дверных ручек, устройств "антипаника", замков, уплотнений и порогов противопожарных дверей, предусмотренных изготовителем, а на дверях лестничных клеток, дверях эвакуационных выходов, в том числе ведущих из подвала на первый этаж (за исключением дверей, ведущих в коридоры, вестибюли (фойе) и непосредственно наружу), приспособлений для самозакрывания.</w:t>
      </w:r>
    </w:p>
    <w:p w14:paraId="4D000000">
      <w:pPr>
        <w:pStyle w:val="Style_2"/>
        <w:spacing w:before="200"/>
        <w:ind w:firstLine="540" w:left="0"/>
        <w:jc w:val="both"/>
      </w:pPr>
      <w:r>
        <w:rPr>
          <w:sz w:val="20"/>
        </w:rPr>
        <w:t>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14:paraId="4E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В соответствии с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"https://login.consultant.ru/link/?req=doc&amp;base=ROS&amp;n=498201&amp;dst=100038" \o "Постановление Правительства РФ от 16.09.2020 N 1479 (ред. от 03.02.2025) "Об утверждении Правил противопожарного режима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п. 15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Правил противопожарного режима руководитель обязан организовать проведение работ по заделке негорючими материалами, обеспечивающими требуемый предел огнестойкости и дымогазонепроницаемость,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</w:t>
      </w:r>
    </w:p>
    <w:p w14:paraId="4F000000">
      <w:pPr>
        <w:pStyle w:val="Style_2"/>
        <w:ind/>
        <w:jc w:val="both"/>
      </w:pPr>
    </w:p>
    <w:p w14:paraId="50000000">
      <w:pPr>
        <w:pStyle w:val="Style_3"/>
        <w:ind/>
        <w:jc w:val="center"/>
        <w:outlineLvl w:val="0"/>
      </w:pPr>
      <w:r>
        <w:rPr>
          <w:sz w:val="20"/>
        </w:rPr>
        <w:t>Технические требования к размещению и устройству</w:t>
      </w:r>
    </w:p>
    <w:p w14:paraId="51000000">
      <w:pPr>
        <w:pStyle w:val="Style_3"/>
        <w:ind/>
        <w:jc w:val="center"/>
      </w:pPr>
      <w:r>
        <w:rPr>
          <w:sz w:val="20"/>
        </w:rPr>
        <w:t>спортивных сооружений</w:t>
      </w:r>
    </w:p>
    <w:p w14:paraId="52000000">
      <w:pPr>
        <w:pStyle w:val="Style_2"/>
        <w:ind/>
        <w:jc w:val="both"/>
      </w:pPr>
    </w:p>
    <w:p w14:paraId="53000000">
      <w:pPr>
        <w:pStyle w:val="Style_2"/>
        <w:ind w:firstLine="540" w:left="0"/>
        <w:jc w:val="both"/>
      </w:pPr>
      <w:r>
        <w:rPr>
          <w:sz w:val="20"/>
        </w:rPr>
        <w:t xml:space="preserve">Согласно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"https://login.consultant.ru/link/?req=doc&amp;base=ROS&amp;n=520150&amp;dst=461" \o "Федеральный закон от 04.12.2007 N 329-ФЗ (ред. от 28.11.2025) "О физической культуре и спорте в Российской Федерации"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ч. 6 ст. 37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Закона о спорте лица, в собственности или во владении которых находятся объекты спорта и иные спортивные сооружения,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РФ за причинение вреда жизни или здоровью лиц, осуществляющих занятия физической культурой и спортом на таких объектах спорта и иных спортивных сооружениях.</w:t>
      </w:r>
    </w:p>
    <w:p w14:paraId="54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Федеральный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закон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30.12.2009 N 384-ФЗ "Технический регламент о безопасности зданий и сооружений" устанавливает общие требования безопасности зданий и сооружений, в том числе:</w:t>
      </w:r>
    </w:p>
    <w:p w14:paraId="55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механической безопасности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"https://login.consultant.ru/link/?req=doc&amp;base=ROS&amp;n=471020&amp;dst=100099"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7)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56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к безопасности при опасных природных процессах и явлениях и (или) техногенных воздействиях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"https://login.consultant.ru/link/?req=doc&amp;base=ROS&amp;n=471020&amp;dst=100114"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9)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57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к безопасным условиям проживания и пребывания в зданиях и сооружениях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"https://login.consultant.ru/link/?req=doc&amp;base=ROS&amp;n=471020&amp;dst=100116"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10)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58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безопасности для пользователей зданиями и сооружениями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"https://login.consultant.ru/link/?req=doc&amp;base=ROS&amp;n=471020&amp;dst=100129"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11)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59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к доступности зданий и сооружений для инвалидов и других групп населения с ограниченными возможностями передвижения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"https://login.consultant.ru/link/?req=doc&amp;base=ROS&amp;n=471020&amp;dst=100131"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12)</w:t>
      </w:r>
      <w:r>
        <w:rPr>
          <w:color w:val="0000FF"/>
          <w:sz w:val="20"/>
        </w:rPr>
        <w:fldChar w:fldCharType="end"/>
      </w:r>
      <w:r>
        <w:rPr>
          <w:sz w:val="20"/>
        </w:rPr>
        <w:t>;</w:t>
      </w:r>
    </w:p>
    <w:p w14:paraId="5A000000">
      <w:pPr>
        <w:pStyle w:val="Style_2"/>
        <w:spacing w:before="200"/>
        <w:ind w:firstLine="540" w:left="0"/>
        <w:jc w:val="both"/>
      </w:pPr>
      <w:r>
        <w:rPr>
          <w:sz w:val="20"/>
        </w:rPr>
        <w:t xml:space="preserve">- требования безопасного уровня воздействия зданий и сооружений на окружающую среду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>HYPERLINK "https://login.consultant.ru/link/?req=doc&amp;base=ROS&amp;n=471020&amp;dst=100136" \o "Федеральный закон от 30.12.2009 N 384-ФЗ (ред. от 25.12.2023) "Технический регламент о безопасности зданий и сооружений" {КонсультантПлюс}"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(ст. 14)</w:t>
      </w:r>
      <w:r>
        <w:rPr>
          <w:color w:val="0000FF"/>
          <w:sz w:val="20"/>
        </w:rPr>
        <w:fldChar w:fldCharType="end"/>
      </w:r>
      <w:r>
        <w:rPr>
          <w:sz w:val="20"/>
        </w:rPr>
        <w:t>, и др.</w:t>
      </w:r>
    </w:p>
    <w:p w14:paraId="5B000000">
      <w:pPr>
        <w:pStyle w:val="Style_2"/>
        <w:spacing w:before="200"/>
        <w:ind w:firstLine="540" w:left="0"/>
        <w:jc w:val="both"/>
      </w:pPr>
      <w:r>
        <w:rPr>
          <w:sz w:val="20"/>
        </w:rPr>
        <w:t>Отдельные специальные технические требования (технический регламент) к спортивным сооружениям в настоящее время законодательством не установлены.</w:t>
      </w:r>
    </w:p>
    <w:p w14:paraId="5C000000">
      <w:pPr>
        <w:pStyle w:val="Style_2"/>
        <w:ind/>
        <w:jc w:val="both"/>
      </w:pPr>
    </w:p>
    <w:p w14:paraId="5D000000">
      <w:pPr>
        <w:pStyle w:val="Style_2"/>
        <w:ind/>
        <w:jc w:val="right"/>
      </w:pPr>
      <w:r>
        <w:rPr>
          <w:sz w:val="20"/>
        </w:rPr>
        <w:t>Подготовлено на основе материала</w:t>
      </w:r>
    </w:p>
    <w:p w14:paraId="5E000000">
      <w:pPr>
        <w:pStyle w:val="Style_2"/>
        <w:ind/>
        <w:jc w:val="right"/>
      </w:pPr>
      <w:r>
        <w:rPr>
          <w:sz w:val="20"/>
        </w:rPr>
        <w:t>П.С. Долгополова,</w:t>
      </w:r>
    </w:p>
    <w:p w14:paraId="5F000000">
      <w:pPr>
        <w:pStyle w:val="Style_2"/>
        <w:ind/>
        <w:jc w:val="right"/>
      </w:pPr>
      <w:r>
        <w:rPr>
          <w:sz w:val="20"/>
        </w:rPr>
        <w:t>ООО "СевИнтелИнвест"</w:t>
      </w:r>
    </w:p>
    <w:p w14:paraId="60000000">
      <w:pPr>
        <w:pStyle w:val="Style_2"/>
        <w:ind/>
        <w:jc w:val="both"/>
      </w:pPr>
    </w:p>
    <w:p w14:paraId="61000000">
      <w:pPr>
        <w:pStyle w:val="Style_2"/>
        <w:ind/>
        <w:jc w:val="both"/>
      </w:pPr>
    </w:p>
    <w:p w14:paraId="62000000">
      <w:pPr>
        <w:pStyle w:val="Style_2"/>
        <w:spacing w:after="100" w:before="100"/>
        <w:ind/>
        <w:jc w:val="both"/>
        <w:rPr>
          <w:sz w:val="2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3402"/>
      <w:gridCol w:w="3402"/>
      <w:gridCol w:w="3402"/>
    </w:tblGrid>
    <w:tr>
      <w:trPr>
        <w:trHeight w:hRule="exact" w:val="1663"/>
      </w:trPr>
      <w:tc>
        <w:tcPr>
          <w:tcW w:type="dxa" w:w="3402"/>
          <w:tcMar>
            <w:left w:type="dxa" w:w="40"/>
            <w:right w:type="dxa" w:w="40"/>
          </w:tcMar>
          <w:vAlign w:val="center"/>
        </w:tcPr>
        <w:p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</w:tr>
  </w:tbl>
  <w:p w14:paraId="07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rPr>
        <w:sz w:val="2"/>
      </w:rPr>
    </w:pPr>
  </w:p>
  <w:tbl>
    <w:tblPr>
      <w:tblInd w:type="dxa" w:w="0"/>
      <w:tblLayout w:type="fixed"/>
      <w:tblCellMar>
        <w:left w:type="dxa" w:w="40"/>
        <w:right w:type="dxa" w:w="40"/>
      </w:tblCellMar>
    </w:tblPr>
    <w:tblGrid>
      <w:gridCol w:w="3402"/>
      <w:gridCol w:w="3402"/>
      <w:gridCol w:w="3402"/>
    </w:tblGrid>
    <w:tr>
      <w:trPr>
        <w:trHeight w:hRule="exact" w:val="1663"/>
      </w:trPr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D000000"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/>
      </w:tc>
      <w:tc>
        <w:tcPr>
          <w:tcW w:type="dxa" w:w="3402"/>
          <w:tcMar>
            <w:left w:type="dxa" w:w="40"/>
            <w:right w:type="dxa" w:w="40"/>
          </w:tcMar>
          <w:vAlign w:val="center"/>
        </w:tcPr>
        <w:p w14:paraId="0E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</w:tr>
  </w:tbl>
  <w:p w14:paraId="0F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5104"/>
      <w:gridCol w:w="5104"/>
    </w:tblGrid>
    <w:tr>
      <w:trPr>
        <w:trHeight w:hRule="exact" w:val="1683"/>
      </w:trPr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Статья: Спортивные сооружения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(Подготовлен для системы КонсультантПлюс, 2025)</w:t>
          </w:r>
        </w:p>
      </w:tc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Ind w:type="dxa" w:w="0"/>
      <w:tblLayout w:type="fixed"/>
      <w:tblCellMar>
        <w:left w:type="dxa" w:w="40"/>
        <w:right w:type="dxa" w:w="40"/>
      </w:tblCellMar>
    </w:tblPr>
    <w:tblGrid>
      <w:gridCol w:w="5104"/>
      <w:gridCol w:w="5104"/>
    </w:tblGrid>
    <w:tr>
      <w:trPr>
        <w:trHeight w:hRule="exact" w:val="1683"/>
      </w:trPr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8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Статья: Спортивные сооружения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(Подготовлен для системы КонсультантПлюс, 2025)</w:t>
          </w:r>
        </w:p>
      </w:tc>
      <w:tc>
        <w:tcPr>
          <w:tcW w:type="dxa" w:w="5104"/>
          <w:tcMar>
            <w:left w:type="dxa" w:w="40"/>
            <w:right w:type="dxa" w:w="40"/>
          </w:tcMar>
          <w:vAlign w:val="center"/>
        </w:tcPr>
        <w:p w14:paraId="09000000">
          <w:pPr>
            <w:rPr>
              <w:rFonts w:ascii="Tahoma" w:hAnsi="Tahoma"/>
            </w:rPr>
          </w:pPr>
        </w:p>
      </w:tc>
    </w:tr>
  </w:tbl>
  <w:p w14:paraId="0A000000">
    <w:pPr>
      <w:rPr>
        <w:sz w:val="2"/>
      </w:rPr>
    </w:pPr>
  </w:p>
  <w:p w14:paraId="0B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Arial" w:hAnsi="Arial"/>
      <w:sz w:val="20"/>
    </w:rPr>
  </w:style>
  <w:style w:default="1" w:styleId="Style_2_ch" w:type="character">
    <w:name w:val="ConsPlusNormal"/>
    <w:link w:val="Style_2"/>
    <w:rPr>
      <w:rFonts w:ascii="Arial" w:hAnsi="Arial"/>
      <w:sz w:val="20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ind/>
    </w:pPr>
    <w:rPr>
      <w:rFonts w:ascii="Arial" w:hAnsi="Arial"/>
      <w:b w:val="1"/>
      <w:sz w:val="20"/>
    </w:rPr>
  </w:style>
  <w:style w:styleId="Style_9_ch" w:type="character">
    <w:name w:val="ConsPlusTitle"/>
    <w:link w:val="Style_9"/>
    <w:rPr>
      <w:rFonts w:ascii="Arial" w:hAnsi="Arial"/>
      <w:b w:val="1"/>
      <w:sz w:val="20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extList"/>
    <w:link w:val="Style_11_ch"/>
    <w:pPr>
      <w:widowControl w:val="0"/>
      <w:ind/>
    </w:pPr>
    <w:rPr>
      <w:rFonts w:ascii="Arial" w:hAnsi="Arial"/>
      <w:sz w:val="20"/>
    </w:rPr>
  </w:style>
  <w:style w:styleId="Style_11_ch" w:type="character">
    <w:name w:val="ConsPlusTextList"/>
    <w:link w:val="Style_11"/>
    <w:rPr>
      <w:rFonts w:ascii="Arial" w:hAnsi="Arial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TextList"/>
    <w:link w:val="Style_13_ch"/>
    <w:pPr>
      <w:widowControl w:val="0"/>
      <w:ind/>
    </w:pPr>
    <w:rPr>
      <w:rFonts w:ascii="Arial" w:hAnsi="Arial"/>
      <w:sz w:val="20"/>
    </w:rPr>
  </w:style>
  <w:style w:styleId="Style_13_ch" w:type="character">
    <w:name w:val="ConsPlusTextList"/>
    <w:link w:val="Style_13"/>
    <w:rPr>
      <w:rFonts w:ascii="Arial" w:hAnsi="Arial"/>
      <w:sz w:val="20"/>
    </w:rPr>
  </w:style>
  <w:style w:styleId="Style_14" w:type="paragraph">
    <w:name w:val="ConsPlusDocLis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DocList"/>
    <w:link w:val="Style_14"/>
    <w:rPr>
      <w:rFonts w:ascii="Courier New" w:hAnsi="Courier New"/>
      <w:sz w:val="20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onsPlusTextList"/>
    <w:link w:val="Style_17_ch"/>
    <w:pPr>
      <w:widowControl w:val="0"/>
      <w:ind/>
    </w:pPr>
    <w:rPr>
      <w:rFonts w:ascii="Arial" w:hAnsi="Arial"/>
      <w:sz w:val="20"/>
    </w:rPr>
  </w:style>
  <w:style w:styleId="Style_17_ch" w:type="character">
    <w:name w:val="ConsPlusTextList"/>
    <w:link w:val="Style_17"/>
    <w:rPr>
      <w:rFonts w:ascii="Arial" w:hAnsi="Arial"/>
      <w:sz w:val="20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DocList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DocList"/>
    <w:link w:val="Style_19"/>
    <w:rPr>
      <w:rFonts w:ascii="Courier New" w:hAnsi="Courier New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Cell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Cell"/>
    <w:link w:val="Style_25"/>
    <w:rPr>
      <w:rFonts w:ascii="Courier New" w:hAnsi="Courier New"/>
      <w:sz w:val="20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2"/>
    </w:rPr>
  </w:style>
  <w:style w:styleId="Style_26_ch" w:type="character">
    <w:name w:val="ConsPlusJurTerm"/>
    <w:link w:val="Style_26"/>
    <w:rPr>
      <w:rFonts w:ascii="Tahoma" w:hAnsi="Tahoma"/>
      <w:sz w:val="22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JurTerm"/>
    <w:link w:val="Style_28_ch"/>
    <w:pPr>
      <w:widowControl w:val="0"/>
      <w:ind/>
    </w:pPr>
    <w:rPr>
      <w:rFonts w:ascii="Tahoma" w:hAnsi="Tahoma"/>
      <w:sz w:val="22"/>
    </w:rPr>
  </w:style>
  <w:style w:styleId="Style_28_ch" w:type="character">
    <w:name w:val="ConsPlusJurTerm"/>
    <w:link w:val="Style_28"/>
    <w:rPr>
      <w:rFonts w:ascii="Tahoma" w:hAnsi="Tahoma"/>
      <w:sz w:val="22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0"/>
    </w:rPr>
  </w:style>
  <w:style w:styleId="Style_3_ch" w:type="character">
    <w:name w:val="ConsPlusTitle"/>
    <w:link w:val="Style_3"/>
    <w:rPr>
      <w:rFonts w:ascii="Arial" w:hAnsi="Arial"/>
      <w:b w:val="1"/>
      <w:sz w:val="20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PlusTitlePage"/>
    <w:link w:val="Style_31_ch"/>
    <w:pPr>
      <w:widowControl w:val="0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ConsPlusTextList"/>
    <w:link w:val="Style_32_ch"/>
    <w:pPr>
      <w:widowControl w:val="0"/>
      <w:ind/>
    </w:pPr>
    <w:rPr>
      <w:rFonts w:ascii="Arial" w:hAnsi="Arial"/>
      <w:sz w:val="20"/>
    </w:rPr>
  </w:style>
  <w:style w:styleId="Style_32_ch" w:type="character">
    <w:name w:val="ConsPlusTextList"/>
    <w:link w:val="Style_32"/>
    <w:rPr>
      <w:rFonts w:ascii="Arial" w:hAnsi="Arial"/>
      <w:sz w:val="20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PlusCell"/>
    <w:link w:val="Style_35_ch"/>
    <w:pPr>
      <w:widowControl w:val="0"/>
      <w:ind/>
    </w:pPr>
    <w:rPr>
      <w:rFonts w:ascii="Courier New" w:hAnsi="Courier New"/>
      <w:sz w:val="20"/>
    </w:rPr>
  </w:style>
  <w:style w:styleId="Style_35_ch" w:type="character">
    <w:name w:val="ConsPlusCell"/>
    <w:link w:val="Style_35"/>
    <w:rPr>
      <w:rFonts w:ascii="Courier New" w:hAnsi="Courier New"/>
      <w:sz w:val="20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  <w:sz w:val="20"/>
    </w:rPr>
  </w:style>
  <w:style w:styleId="Style_36_ch" w:type="character">
    <w:name w:val="ConsPlusNonformat"/>
    <w:link w:val="Style_36"/>
    <w:rPr>
      <w:rFonts w:ascii="Courier New" w:hAnsi="Courier New"/>
      <w:sz w:val="20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2026-04-08T13:33:31Z</dcterms:modified>
</cp:coreProperties>
</file>